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贵州</w:t>
      </w:r>
      <w:r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省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商务厅</w:t>
      </w:r>
      <w:r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专家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申请</w:t>
      </w:r>
      <w:r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8850" w:type="dxa"/>
        <w:tblInd w:w="-1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877"/>
        <w:gridCol w:w="1562"/>
        <w:gridCol w:w="1951"/>
        <w:gridCol w:w="19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职级（职称）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及任职时间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专业领域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</w:t>
            </w:r>
            <w:r>
              <w:rPr>
                <w:rStyle w:val="5"/>
                <w:rFonts w:hAnsi="等线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□政府部门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□高等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院校 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科研院所 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行业协会 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□企业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社会组织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兼职情况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申报专家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行业类别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（仅限一项）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法律法规 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财务审计 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项目管理 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人才评审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商贸物流 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品牌建设 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绿色流通 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酒类流通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电子商务 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对外贸易 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服务贸易 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会议会展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开放型经济 </w:t>
            </w: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口岸物流及信息化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主要成果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所在单位意见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      （人事管理部门公章）</w:t>
            </w:r>
          </w:p>
        </w:tc>
      </w:tr>
    </w:tbl>
    <w:p>
      <w:r>
        <w:rPr>
          <w:rFonts w:hint="default" w:ascii="仿宋_GB2312" w:hAnsi="等线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本人签名：                                 年  月  日</w:t>
      </w:r>
      <w:r>
        <w:rPr>
          <w:rFonts w:hint="eastAsia" w:ascii="仿宋_GB2312" w:hAnsi="等线" w:eastAsia="仿宋_GB2312" w:cs="仿宋_GB2312"/>
          <w:i w:val="0"/>
          <w:color w:val="000000"/>
          <w:kern w:val="0"/>
          <w:sz w:val="24"/>
          <w:szCs w:val="24"/>
          <w:lang w:val="en-US" w:eastAsia="zh-CN" w:bidi="ar-SA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641E4"/>
    <w:rsid w:val="61A6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after="140" w:line="276" w:lineRule="auto"/>
    </w:pPr>
  </w:style>
  <w:style w:type="character" w:customStyle="1" w:styleId="5">
    <w:name w:val="font01"/>
    <w:basedOn w:val="4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2023-04-20T02:33:00Z</dcterms:created>
  <dc:creator>何以笙萧默</dc:creator>
  <cp:lastModifiedBy>何以笙萧默</cp:lastModifiedBy>
  <dcterms:modified xsi:type="dcterms:W3CDTF">2023-04-20T02:33:51Z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